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70 vom 6. Oktober 2021</w:t>
      </w:r>
    </w:p>
    <w:p>
      <w:r>
        <w:t>GR Gerichte, 2021-10-06, DE</w:t>
      </w:r>
    </w:p>
    <w:p>
      <w:r>
        <w:rPr>
          <w:b/>
        </w:rPr>
        <w:t xml:space="preserve">Quelle: </w:t>
      </w:r>
      <w:r>
        <w:t>https://mcp.opencaselaw.ch/entscheid/gr_gerichte_SK2 2021 70</w:t>
      </w:r>
    </w:p>
    <w:p>
      <w:r>
        <w:t>FR: GR_GERICHTE SK2 2021 70 du 6 octobre 2021</w:t>
      </w:r>
    </w:p>
    <w:p>
      <w:r>
        <w:t>IT: GR_GERICHTE SK2 2021 70 del 6 ottobre 2021</w:t>
      </w:r>
    </w:p>
    <w:p>
      <w:pPr>
        <w:pStyle w:val="Heading2"/>
      </w:pPr>
      <w:r>
        <w:t>Regeste</w:t>
      </w:r>
    </w:p>
    <w:p>
      <w:r>
        <w:t>Verletzung von Verkehrsregeln | Beschwerde gegen Regionalgericht (früher Bezirksgericht)</w:t>
      </w:r>
    </w:p>
    <w:p>
      <w:pPr>
        <w:pStyle w:val="Heading2"/>
      </w:pPr>
      <w:r>
        <w:t>Erwägungen</w:t>
      </w:r>
    </w:p>
    <w:p>
      <w:r>
        <w:rPr>
          <w:b/>
        </w:rPr>
        <w:t>E. 1</w:t>
      </w:r>
    </w:p>
    <w:p>
      <w:r>
        <w:t>Gestützt auf Art. 393 Abs. 1 lit. b StPO kann gegen Verfügungen und Be- schlüsse sowie die Verfahrenshandlungen der erstinstanzlichen Gerichte Be- schwerde beim Kantonsgericht erhoben werden. Diese ist innert zehn Tagen schrift- lich und begründet bei der Beschwerdeinstanz einzureichen. Die Behandlung der Beschwerde fällt in die Zuständigkeit der II. Strafkammer des Kantonsgerichts (Art. 10 Abs. 1 KGV [BR 173.110]).</w:t>
      </w:r>
    </w:p>
    <w:p>
      <w:r>
        <w:rPr>
          <w:b/>
        </w:rPr>
        <w:t>E. 1.2</w:t>
      </w:r>
    </w:p>
    <w:p>
      <w:r>
        <w:t>Der Beschluss des Regionalgerichts Landquart vom 18. August 2021, mit- geteilt am 7. September 2021 wurde dem Beschwerdeführer am 15. September 2021 am Postschalter zugestellt (act. E.1/1). Damit wurde die zehntägige Be- schwerdefrist mit der Eingabe vom 24. September 2021 (Datum Poststempel) ein- gehalten. 2.1. Vorliegend gilt es zu prüfen, ob das Regionalgericht Plessur die Einsprache des Beschwerdeführers vom 23. Februar 2021 aufgrund der fehlenden Originalun- terschrift zu Recht als ungültig erklärt hat (act. B.1). 2.2. Gemäss Art. 352 Abs. 1 StPO erlässt die Staatsanwaltschaft in den gesetz- lich statuierten Fällen einen Strafbefehl, wenn die beschuldigte Person im Vorver- fahren den Sachverhalt eingestanden hat oder dieser anderweitig ausreichend geklärt ist. Erhebt die beschuldigte Person innert zehn Tagen schriftlich Einspra- che gemäss Art. 354 StPO und hält die Staatsanwaltschaft am Strafbefehl fest, so überweist die Staatsanwaltschaft den Strafbefehl an das zuständige erstinstanzli- che Gericht. Das Gericht prüft sowohl Gültigkeit des Strafbefehls als auch der Ein- sprache (Art. 356 Abs. 2 StPO). Die Einsprache der beschuldigten Person ist gül- tig, wenn sie schriftlich und innert der Frist eingeht (Art. 354 Abs. 1 und 2 StPO). Die Unterschrift muss eigenhändig bzw. im Original auf dem Schriftdokument an- gebracht werden (BGE 142 IV 299 E. 1.1; 112 Ia 173 E. 1). 3.1. Der Beschwerdeführer setzt sich in seiner elfseitigen Beschwerde an das Kantonsgericht von Graubünden nicht mit den Erwägungen der Vorinstanz im an- gefochtenen Beschluss auseinander und legt nicht dar, inwieweit diese nicht zu- treffen sollten. Die Begründung des angefochtenen Entscheides ist denn auch nicht zu beanstanden. Wie dargelegt, muss die Einsprache gegen einen Strafbe- fehl eigenhändig unterschrieben sein. Dem ist der Beschwerdeführer trotz mehrfa- cher Ermahnung durch die Staatsanwaltschaft (bewusst) nicht nachgekommen, sodass seine Einsprache zu Recht als ungültig erklärt wurde. Statt sich mit dieser Thematik auseinanderzusetzen, beschränkt sich der Beschwerdeführer indessen darauf, Theorien und Ideologien kundzutun, die belegen sollen, dass Behörden</w:t>
      </w:r>
    </w:p>
    <w:p>
      <w:r>
        <w:rPr>
          <w:b/>
        </w:rPr>
        <w:t>E. 4</w:t>
      </w:r>
    </w:p>
    <w:p>
      <w:r>
        <w:t>Da sich die Beschwerde als offensichtlich unzulässig erweist, ergeht der vorliegende Entscheid in einzelrichterlicher Kompetenz (Art. 18 Abs. 3 GOG [BR 173.000]; Art. 11 Abs. 2 KGV).</w:t>
      </w:r>
    </w:p>
    <w:p>
      <w:r>
        <w:rPr>
          <w:b/>
        </w:rPr>
        <w:t>E. 5</w:t>
      </w:r>
    </w:p>
    <w:p>
      <w:r>
        <w:t>/ 6 deverfahren vollständig, sodass er die Gerichtskosten zu tragen hat. Letztere wer- den in Anwendung von Art. 8 i.V.m. Art. 10 VGS (BR 350.210) auf CHF 800.00 festgesetzt.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